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bookmarkStart w:id="0" w:name="_GoBack"/>
      <w:bookmarkEnd w:id="0"/>
      <w:r>
        <w:rPr>
          <w:sz w:val="40"/>
          <w:szCs w:val="40"/>
        </w:rPr>
        <w:t>Indskudsmeddelelse</w:t>
      </w:r>
    </w:p>
    <w:p>
      <w:pPr>
        <w:pStyle w:val="Normal"/>
        <w:rPr/>
      </w:pPr>
      <w:r>
        <w:rPr/>
      </w:r>
    </w:p>
    <w:tbl>
      <w:tblPr>
        <w:tblStyle w:val="Tabel-Gitter"/>
        <w:tblW w:w="96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628"/>
      </w:tblGrid>
      <w:tr>
        <w:trPr/>
        <w:tc>
          <w:tcPr>
            <w:tcW w:w="9628" w:type="dxa"/>
            <w:tcBorders/>
            <w:shd w:color="auto" w:fill="9CC2E5" w:themeFill="accent1" w:themeFillTint="99" w:val="clear"/>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Vejledning</w:t>
            </w:r>
          </w:p>
        </w:tc>
      </w:tr>
      <w:tr>
        <w:trPr>
          <w:trHeight w:val="826" w:hRule="atLeast"/>
        </w:trPr>
        <w:tc>
          <w:tcPr>
            <w:tcW w:w="9628" w:type="dxa"/>
            <w:tcBorders/>
            <w:shd w:color="auto" w:fill="9CC2E5" w:themeFill="accent1" w:themeFillTint="99" w:val="clear"/>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Skemaet udfyldes af investorer i Langholt Invest ved indbetalinger til foreningen. Skemaet udfyldes af både nye investorer og af eksisterende investorer. </w:t>
            </w:r>
          </w:p>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lineRule="auto" w:line="240" w:before="0" w:after="0"/>
              <w:jc w:val="left"/>
              <w:rPr/>
            </w:pPr>
            <w:r>
              <w:rPr>
                <w:rFonts w:eastAsia="Calibri" w:cs=""/>
                <w:kern w:val="0"/>
                <w:sz w:val="22"/>
                <w:szCs w:val="22"/>
                <w:lang w:val="da-DK" w:eastAsia="en-US" w:bidi="ar-SA"/>
              </w:rPr>
              <w:t xml:space="preserve">Det udfyldte skema fremsendes til </w:t>
            </w:r>
            <w:hyperlink r:id="rId2">
              <w:r>
                <w:rPr>
                  <w:rStyle w:val="Hyperlink"/>
                  <w:rFonts w:eastAsia="Calibri" w:cs=""/>
                  <w:kern w:val="0"/>
                  <w:sz w:val="22"/>
                  <w:szCs w:val="22"/>
                  <w:lang w:val="da-DK" w:eastAsia="en-US" w:bidi="ar-SA"/>
                </w:rPr>
                <w:t>andykidholm@gmail.com</w:t>
              </w:r>
            </w:hyperlink>
            <w:r>
              <w:rPr>
                <w:rFonts w:eastAsia="Calibri" w:cs=""/>
                <w:kern w:val="0"/>
                <w:sz w:val="22"/>
                <w:szCs w:val="22"/>
                <w:lang w:val="da-DK" w:eastAsia="en-US" w:bidi="ar-SA"/>
              </w:rPr>
              <w:t xml:space="preserve">. </w:t>
            </w:r>
          </w:p>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tc>
      </w:tr>
    </w:tbl>
    <w:p>
      <w:pPr>
        <w:pStyle w:val="Normal"/>
        <w:rPr/>
      </w:pPr>
      <w:r>
        <w:rPr/>
      </w:r>
    </w:p>
    <w:p>
      <w:pPr>
        <w:pStyle w:val="Normal"/>
        <w:rPr/>
      </w:pPr>
      <w:r>
        <w:rPr/>
        <w:t>Navn på investor: _________________________________</w:t>
      </w:r>
    </w:p>
    <w:p>
      <w:pPr>
        <w:pStyle w:val="Normal"/>
        <w:rPr/>
      </w:pPr>
      <w:r>
        <w:rPr/>
        <w:t>Adresse: ________________________________________</w:t>
      </w:r>
    </w:p>
    <w:p>
      <w:pPr>
        <w:pStyle w:val="Normal"/>
        <w:rPr/>
      </w:pPr>
      <w:r>
        <w:rPr/>
        <w:t>CPR-nr/CVR-nr.: __________________________________</w:t>
      </w:r>
    </w:p>
    <w:p>
      <w:pPr>
        <w:pStyle w:val="Normal"/>
        <w:rPr/>
      </w:pPr>
      <w:r>
        <w:rPr/>
        <w:t>Kontonummer i dansk pengeinstitut, hvorfra indbetalingen sker: Reg.nr. _____ Kontonummer ___________</w:t>
      </w:r>
    </w:p>
    <w:p>
      <w:pPr>
        <w:pStyle w:val="Normal"/>
        <w:rPr/>
      </w:pPr>
      <w:r>
        <w:rPr/>
        <w:t>Dato for overførsel: _____________</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Indbetaler er i forvejen investor i Langholt Invest. Medlemsnummer er: ______________________</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Jeg er opført på Finanstilsynets liste over </w:t>
      </w:r>
      <w:r>
        <w:rPr>
          <w:i/>
        </w:rPr>
        <w:t>politisk eksponerede personer</w:t>
      </w:r>
      <w:r>
        <w:rPr/>
        <w:t xml:space="preserve"> (PEP-listen)</w:t>
      </w:r>
      <w:r>
        <w:rPr>
          <w:rStyle w:val="Fodnoteanker"/>
        </w:rPr>
        <w:footnoteReference w:id="2"/>
      </w:r>
    </w:p>
    <w:p>
      <w:pPr>
        <w:pStyle w:val="Normal"/>
        <w:rPr/>
      </w:pPr>
      <w:r>
        <w:rPr/>
      </w:r>
    </w:p>
    <w:p>
      <w:pPr>
        <w:pStyle w:val="Normal"/>
        <w:rPr/>
      </w:pPr>
      <w:r>
        <w:rPr/>
        <w:t xml:space="preserve">Indbetalingsmeddelelsen </w:t>
      </w:r>
      <w:r>
        <w:rPr>
          <w:b/>
        </w:rPr>
        <w:t>skal</w:t>
      </w:r>
      <w:r>
        <w:rPr/>
        <w:t xml:space="preserve"> fremsendes sammen med følgende dokumenter:</w:t>
      </w:r>
    </w:p>
    <w:p>
      <w:pPr>
        <w:pStyle w:val="Normal"/>
        <w:rPr/>
      </w:pPr>
      <w:r>
        <w:rPr>
          <w:b/>
        </w:rPr>
        <w:t>Nye investorer</w:t>
      </w:r>
      <w:r>
        <w:rPr/>
        <w:t>:</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Kopi af pas og sygesikringsbevis</w:t>
      </w:r>
    </w:p>
    <w:p>
      <w:pPr>
        <w:pStyle w:val="Normal"/>
        <w:ind w:left="340" w:hanging="340"/>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Dokumentation for ejerskab til </w:t>
      </w:r>
      <w:r>
        <w:rPr/>
        <w:t>angivne konto i dansk pengeinstitut, fx kontovilkår, (dele af) kontoudskrift eller erklæring fra pengeinstituttet</w:t>
      </w:r>
    </w:p>
    <w:p>
      <w:pPr>
        <w:pStyle w:val="Normal"/>
        <w:rPr/>
      </w:pPr>
      <w:sdt>
        <w:sdtPr>
          <w14:checkbox>
            <w14:checked w:val="0"/>
            <w14:checkedState w:val="2612"/>
            <w14:uncheckedState w:val="2610"/>
          </w14:checkbox>
        </w:sdtPr>
        <w:sdtContent>
          <w:r>
            <w:rPr>
              <w:rFonts w:eastAsia="MS Gothic" w:ascii="MS Gothic" w:hAnsi="MS Gothic"/>
            </w:rPr>
            <w:t>☐</w:t>
          </w:r>
        </w:sdtContent>
      </w:sdt>
      <w:r>
        <w:rPr/>
        <w:t xml:space="preserve">  </w:t>
      </w:r>
      <w:r>
        <w:rPr/>
        <w:t>Investor er en juridisk person. Ovennævnte dokumentation for selskabets reelle ejere</w:t>
      </w:r>
      <w:r>
        <w:rPr/>
        <w:t xml:space="preserve"> + koncerndiagram</w:t>
      </w:r>
    </w:p>
    <w:p>
      <w:pPr>
        <w:pStyle w:val="Normal"/>
        <w:rPr>
          <w:b/>
          <w:b/>
        </w:rPr>
      </w:pPr>
      <w:r>
        <w:rPr>
          <w:b/>
        </w:rPr>
      </w:r>
    </w:p>
    <w:p>
      <w:pPr>
        <w:pStyle w:val="Normal"/>
        <w:rPr/>
      </w:pPr>
      <w:r>
        <w:rPr>
          <w:b/>
        </w:rPr>
        <w:t>Eksisterende investorer</w:t>
      </w:r>
      <w:r>
        <w:rPr/>
        <w:t>:</w:t>
      </w:r>
    </w:p>
    <w:p>
      <w:pPr>
        <w:pStyle w:val="Normal"/>
        <w:rPr>
          <w:sz w:val="18"/>
          <w:szCs w:val="18"/>
        </w:rPr>
      </w:pPr>
      <w:sdt>
        <w:sdtPr>
          <w14:checkbox>
            <w14:checked w:val="0"/>
            <w14:checkedState w:val="2612"/>
            <w14:uncheckedState w:val="2610"/>
          </w14:checkbox>
        </w:sdtPr>
        <w:sdtContent>
          <w:r>
            <w:rPr>
              <w:rFonts w:eastAsia="MS Gothic" w:ascii="MS Gothic" w:hAnsi="MS Gothic"/>
            </w:rPr>
            <w:t>☐</w:t>
          </w:r>
        </w:sdtContent>
      </w:sdt>
      <w:r>
        <w:rPr/>
        <w:t xml:space="preserve">  </w:t>
      </w:r>
      <w:r>
        <w:rPr/>
        <w:t>Hvis nyt kontonummer i forhold til tidligere oplyste: Dokumentation for ejerskab til angivne konto i dansk pengeinstitut, fx (dele af) kontoudskrift</w:t>
      </w:r>
      <w:r>
        <w:rPr/>
        <w:t xml:space="preserve"> eller erklæring fra pengeinstitut  </w:t>
      </w:r>
    </w:p>
    <w:tbl>
      <w:tblPr>
        <w:tblStyle w:val="Tabel-Gitter"/>
        <w:tblW w:w="96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628"/>
      </w:tblGrid>
      <w:tr>
        <w:trPr>
          <w:trHeight w:val="3834" w:hRule="atLeast"/>
        </w:trPr>
        <w:tc>
          <w:tcPr>
            <w:tcW w:w="9628" w:type="dxa"/>
            <w:tcBorders/>
          </w:tcPr>
          <w:p>
            <w:pPr>
              <w:pStyle w:val="Normal"/>
              <w:widowControl/>
              <w:spacing w:lineRule="auto" w:line="240" w:before="0" w:after="0"/>
              <w:jc w:val="both"/>
              <w:rPr>
                <w:i/>
                <w:i/>
                <w:sz w:val="18"/>
                <w:szCs w:val="18"/>
              </w:rPr>
            </w:pPr>
            <w:r>
              <w:rPr>
                <w:rFonts w:eastAsia="Calibri" w:cs=""/>
                <w:i/>
                <w:kern w:val="0"/>
                <w:sz w:val="22"/>
                <w:szCs w:val="22"/>
                <w:lang w:val="da-DK" w:eastAsia="en-US" w:bidi="ar-SA"/>
              </w:rPr>
            </w:r>
          </w:p>
          <w:p>
            <w:pPr>
              <w:pStyle w:val="Normal"/>
              <w:widowControl/>
              <w:spacing w:lineRule="auto" w:line="240" w:before="0" w:after="0"/>
              <w:jc w:val="both"/>
              <w:rPr>
                <w:i/>
                <w:i/>
                <w:sz w:val="18"/>
                <w:szCs w:val="18"/>
              </w:rPr>
            </w:pPr>
            <w:r>
              <w:rPr>
                <w:rFonts w:eastAsia="Calibri" w:cs=""/>
                <w:i/>
                <w:kern w:val="0"/>
                <w:sz w:val="18"/>
                <w:szCs w:val="18"/>
                <w:lang w:val="da-DK" w:eastAsia="en-US" w:bidi="ar-SA"/>
              </w:rPr>
              <w:t xml:space="preserve">Langholt Invest er undergivet forpligtelser, der følger af hvidvaskloven. Loven medfører blandt andet, at der skal indhentes oplysninger om alle investorers identitet. For fysiske personer omfatter dette oplysninger om navn, adresse og cpr-nr. Dette dokumenteres i form af kopi af pas og sygesikringsbevis. For juridiske personer (selskaber) omfatter det oplysninger om cvr-nr., navne på personer i ledelsen, evt. koncernstruktur, samt navne, adresser og cpr-nr. på de fysiske personer, der i sidste led kontrollerer den juridiske person (de reelle ejere), fx indehaveren af et holdingselskab. </w:t>
            </w:r>
          </w:p>
          <w:p>
            <w:pPr>
              <w:pStyle w:val="Normal"/>
              <w:widowControl/>
              <w:spacing w:lineRule="auto" w:line="240" w:before="0" w:after="0"/>
              <w:jc w:val="both"/>
              <w:rPr>
                <w:i/>
                <w:i/>
                <w:sz w:val="18"/>
                <w:szCs w:val="18"/>
              </w:rPr>
            </w:pPr>
            <w:r>
              <w:rPr>
                <w:rFonts w:eastAsia="Calibri" w:cs=""/>
                <w:i/>
                <w:kern w:val="0"/>
                <w:sz w:val="22"/>
                <w:szCs w:val="22"/>
                <w:lang w:val="da-DK" w:eastAsia="en-US" w:bidi="ar-SA"/>
              </w:rPr>
            </w:r>
          </w:p>
          <w:p>
            <w:pPr>
              <w:pStyle w:val="Normal"/>
              <w:widowControl/>
              <w:spacing w:lineRule="auto" w:line="240" w:before="0" w:after="0"/>
              <w:jc w:val="both"/>
              <w:rPr>
                <w:i/>
                <w:i/>
                <w:sz w:val="18"/>
                <w:szCs w:val="18"/>
              </w:rPr>
            </w:pPr>
            <w:r>
              <w:rPr>
                <w:rFonts w:eastAsia="Calibri" w:cs=""/>
                <w:i/>
                <w:kern w:val="0"/>
                <w:sz w:val="18"/>
                <w:szCs w:val="18"/>
                <w:lang w:val="da-DK" w:eastAsia="en-US" w:bidi="ar-SA"/>
              </w:rPr>
              <w:t xml:space="preserve">Er investor, eller investors reelle ejer(e) (hvis juridisk person), politisk eksponeret person(er), skal dette oplyses til Langholt Invest. Langholt Invest kan til enhver tid kræve supplerende oplysninger fra politisk eksponerede personer til etablering eller opretholdelse af medlemskab i Langholt Invest.  </w:t>
            </w:r>
          </w:p>
          <w:p>
            <w:pPr>
              <w:pStyle w:val="Normal"/>
              <w:widowControl/>
              <w:spacing w:lineRule="auto" w:line="240" w:before="0" w:after="0"/>
              <w:jc w:val="both"/>
              <w:rPr>
                <w:i/>
                <w:i/>
                <w:sz w:val="18"/>
                <w:szCs w:val="18"/>
              </w:rPr>
            </w:pPr>
            <w:r>
              <w:rPr>
                <w:rFonts w:eastAsia="Calibri" w:cs=""/>
                <w:i/>
                <w:kern w:val="0"/>
                <w:sz w:val="22"/>
                <w:szCs w:val="22"/>
                <w:lang w:val="da-DK" w:eastAsia="en-US" w:bidi="ar-SA"/>
              </w:rPr>
            </w:r>
          </w:p>
          <w:p>
            <w:pPr>
              <w:pStyle w:val="Normal"/>
              <w:widowControl/>
              <w:spacing w:lineRule="auto" w:line="240" w:before="0" w:after="0"/>
              <w:jc w:val="both"/>
              <w:rPr>
                <w:i/>
                <w:i/>
                <w:sz w:val="18"/>
                <w:szCs w:val="18"/>
              </w:rPr>
            </w:pPr>
            <w:r>
              <w:rPr>
                <w:rFonts w:eastAsia="Calibri" w:cs=""/>
                <w:i/>
                <w:kern w:val="0"/>
                <w:sz w:val="18"/>
                <w:szCs w:val="18"/>
                <w:lang w:val="da-DK" w:eastAsia="en-US" w:bidi="ar-SA"/>
              </w:rPr>
              <w:t xml:space="preserve">Loven indebærer, at Langholt Invest ikke må påbegynde kundeforholdet, førend vi har modtaget ovennævnte oplysninger. Loven indebærer endvidere, at Langholt Invest er forpligtet til at underrette Hvidvasksekretariatet, hvis foreningen er vidende om, har mistanke om eller rimelig grund til at formode, at en transaktion, midler eller en aktivitet har eller har haft tilknytning til hvidvask eller finansiering af terror. </w:t>
            </w:r>
          </w:p>
          <w:p>
            <w:pPr>
              <w:pStyle w:val="Normal"/>
              <w:widowControl/>
              <w:spacing w:lineRule="auto" w:line="240" w:before="0" w:after="0"/>
              <w:jc w:val="both"/>
              <w:rPr>
                <w:i/>
                <w:i/>
                <w:sz w:val="18"/>
                <w:szCs w:val="18"/>
              </w:rPr>
            </w:pPr>
            <w:r>
              <w:rPr>
                <w:rFonts w:eastAsia="Calibri" w:cs=""/>
                <w:i/>
                <w:kern w:val="0"/>
                <w:sz w:val="22"/>
                <w:szCs w:val="22"/>
                <w:lang w:val="da-DK" w:eastAsia="en-US" w:bidi="ar-SA"/>
              </w:rPr>
            </w:r>
          </w:p>
          <w:p>
            <w:pPr>
              <w:pStyle w:val="Normal"/>
              <w:widowControl/>
              <w:spacing w:lineRule="auto" w:line="240" w:before="0" w:after="0"/>
              <w:jc w:val="both"/>
              <w:rPr>
                <w:i/>
                <w:i/>
                <w:sz w:val="18"/>
                <w:szCs w:val="18"/>
              </w:rPr>
            </w:pPr>
            <w:r>
              <w:rPr>
                <w:rFonts w:eastAsia="Calibri" w:cs=""/>
                <w:i/>
                <w:kern w:val="0"/>
                <w:sz w:val="18"/>
                <w:szCs w:val="18"/>
                <w:lang w:val="da-DK" w:eastAsia="en-US" w:bidi="ar-SA"/>
              </w:rPr>
              <w:t xml:space="preserve">Personoplysninger opbevares i henhold til hvidvaskloven i 5 år efter kundeforholdets ophør. </w:t>
            </w:r>
          </w:p>
          <w:p>
            <w:pPr>
              <w:pStyle w:val="Normal"/>
              <w:widowControl/>
              <w:spacing w:lineRule="auto" w:line="240" w:before="0" w:after="0"/>
              <w:jc w:val="both"/>
              <w:rPr>
                <w:i/>
                <w:i/>
                <w:sz w:val="18"/>
                <w:szCs w:val="18"/>
              </w:rPr>
            </w:pPr>
            <w:r>
              <w:rPr>
                <w:rFonts w:eastAsia="Calibri" w:cs=""/>
                <w:i/>
                <w:kern w:val="0"/>
                <w:sz w:val="22"/>
                <w:szCs w:val="22"/>
                <w:lang w:val="da-DK" w:eastAsia="en-US" w:bidi="ar-SA"/>
              </w:rPr>
            </w:r>
          </w:p>
          <w:p>
            <w:pPr>
              <w:pStyle w:val="Normal"/>
              <w:widowControl/>
              <w:spacing w:lineRule="auto" w:line="240" w:before="0" w:after="0"/>
              <w:jc w:val="both"/>
              <w:rPr>
                <w:i/>
                <w:i/>
                <w:sz w:val="18"/>
                <w:szCs w:val="18"/>
              </w:rPr>
            </w:pPr>
            <w:r>
              <w:rPr>
                <w:rFonts w:eastAsia="Calibri" w:cs=""/>
                <w:i/>
                <w:kern w:val="0"/>
                <w:sz w:val="18"/>
                <w:szCs w:val="18"/>
                <w:lang w:val="da-DK" w:eastAsia="en-US" w:bidi="ar-SA"/>
              </w:rPr>
              <w:t xml:space="preserve">Langholt Invest anvender endvidere indhentede oplysninger i forbindelse med opgørelse og indberetning af udbytte til SKAT. Denne behandling af personoplysninger sker i medfør af databeskyttelsesforordningens artikel 6, stk. 1 (c) om behandling, der er nødvendig for at overholde en retlig forpligtelse. Der henvises til foreningens til enhver tid gældende persondatapolitik på foreningens hjemmeside. </w:t>
            </w:r>
          </w:p>
          <w:p>
            <w:pPr>
              <w:pStyle w:val="Normal"/>
              <w:widowControl/>
              <w:spacing w:lineRule="auto" w:line="240" w:before="0" w:after="0"/>
              <w:jc w:val="both"/>
              <w:rPr>
                <w:i/>
                <w:i/>
                <w:sz w:val="18"/>
                <w:szCs w:val="18"/>
              </w:rPr>
            </w:pPr>
            <w:r>
              <w:rPr>
                <w:rFonts w:eastAsia="Calibri" w:cs=""/>
                <w:i/>
                <w:kern w:val="0"/>
                <w:sz w:val="22"/>
                <w:szCs w:val="22"/>
                <w:lang w:val="da-DK" w:eastAsia="en-US" w:bidi="ar-SA"/>
              </w:rPr>
            </w:r>
          </w:p>
        </w:tc>
      </w:tr>
    </w:tbl>
    <w:p>
      <w:pPr>
        <w:pStyle w:val="Normal"/>
        <w:widowControl/>
        <w:bidi w:val="0"/>
        <w:spacing w:lineRule="auto" w:line="259" w:before="0" w:after="160"/>
        <w:jc w:val="left"/>
        <w:rPr/>
      </w:pPr>
      <w:r>
        <w:rPr/>
      </w:r>
    </w:p>
    <w:sectPr>
      <w:headerReference w:type="default" r:id="rId3"/>
      <w:footnotePr>
        <w:numFmt w:val="decimal"/>
      </w:footnotePr>
      <w:type w:val="nextPage"/>
      <w:pgSz w:w="11906" w:h="16838"/>
      <w:pgMar w:left="1134" w:right="1134" w:gutter="0" w:header="708" w:top="170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MS Gothic">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dnote"/>
        <w:rPr/>
      </w:pPr>
      <w:r>
        <w:rPr>
          <w:rStyle w:val="Fodnotetegn"/>
        </w:rPr>
        <w:footnoteRef/>
      </w:r>
      <w:r>
        <w:rPr/>
        <w:t xml:space="preserve"> </w:t>
      </w:r>
      <w:r>
        <w:rPr/>
        <w:t xml:space="preserve">Liste over bl.a. ledende medlemmer i danske politiske partier, folketingsmedlemmer, ministre, ledere i ministerier og statsejede virksomheder. Læs om PEP-listen på </w:t>
      </w:r>
      <w:hyperlink r:id="rId1">
        <w:r>
          <w:rPr>
            <w:rStyle w:val="Hyperlink"/>
          </w:rPr>
          <w:t>https://www.finanstilsynet.dk/tal-og-fakta/pep-liste</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t>BLANKET Indskudsmeddelelse</w:t>
      <w:tab/>
      <w:tab/>
      <w:t>Langholt Invest</w:t>
    </w:r>
  </w:p>
  <w:p>
    <w:pPr>
      <w:pStyle w:val="Sidehoved"/>
      <w:rPr/>
    </w:pPr>
    <w:r>
      <w:rPr/>
      <w:t>Revision 4. december 2021</w:t>
    </w:r>
  </w:p>
</w:hdr>
</file>

<file path=word/settings.xml><?xml version="1.0" encoding="utf-8"?>
<w:settings xmlns:w="http://schemas.openxmlformats.org/wordprocessingml/2006/main">
  <w:zoom w:percent="100"/>
  <w:defaultTabStop w:val="1304"/>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64316c"/>
    <w:rPr/>
  </w:style>
  <w:style w:type="character" w:styleId="SidefodTegn" w:customStyle="1">
    <w:name w:val="Sidefod Tegn"/>
    <w:basedOn w:val="DefaultParagraphFont"/>
    <w:link w:val="Sidefod"/>
    <w:uiPriority w:val="99"/>
    <w:qFormat/>
    <w:rsid w:val="0064316c"/>
    <w:rPr/>
  </w:style>
  <w:style w:type="character" w:styleId="Hyperlink">
    <w:name w:val="Hyperlink"/>
    <w:basedOn w:val="DefaultParagraphFont"/>
    <w:uiPriority w:val="99"/>
    <w:unhideWhenUsed/>
    <w:rsid w:val="002944ab"/>
    <w:rPr>
      <w:color w:val="0563C1" w:themeColor="hyperlink"/>
      <w:u w:val="single"/>
    </w:rPr>
  </w:style>
  <w:style w:type="character" w:styleId="Ulstomtale1" w:customStyle="1">
    <w:name w:val="Uløst omtale1"/>
    <w:basedOn w:val="DefaultParagraphFont"/>
    <w:uiPriority w:val="99"/>
    <w:semiHidden/>
    <w:unhideWhenUsed/>
    <w:qFormat/>
    <w:rsid w:val="00e72789"/>
    <w:rPr>
      <w:color w:val="605E5C"/>
      <w:shd w:fill="E1DFDD" w:val="clear"/>
    </w:rPr>
  </w:style>
  <w:style w:type="character" w:styleId="PlaceholderText">
    <w:name w:val="Placeholder Text"/>
    <w:basedOn w:val="DefaultParagraphFont"/>
    <w:uiPriority w:val="99"/>
    <w:semiHidden/>
    <w:qFormat/>
    <w:rsid w:val="00240e1a"/>
    <w:rPr>
      <w:color w:val="808080"/>
    </w:rPr>
  </w:style>
  <w:style w:type="character" w:styleId="FodnotetekstTegn" w:customStyle="1">
    <w:name w:val="Fodnotetekst Tegn"/>
    <w:basedOn w:val="DefaultParagraphFont"/>
    <w:link w:val="Fodnotetekst"/>
    <w:uiPriority w:val="99"/>
    <w:semiHidden/>
    <w:qFormat/>
    <w:rsid w:val="009264b0"/>
    <w:rPr>
      <w:sz w:val="20"/>
      <w:szCs w:val="20"/>
    </w:rPr>
  </w:style>
  <w:style w:type="character" w:styleId="Fodnoteanker">
    <w:name w:val="Fodnoteanker"/>
    <w:rPr>
      <w:vertAlign w:val="superscript"/>
    </w:rPr>
  </w:style>
  <w:style w:type="character" w:styleId="FootnoteCharacters">
    <w:name w:val="Footnote Characters"/>
    <w:basedOn w:val="DefaultParagraphFont"/>
    <w:uiPriority w:val="99"/>
    <w:semiHidden/>
    <w:unhideWhenUsed/>
    <w:qFormat/>
    <w:rsid w:val="009264b0"/>
    <w:rPr>
      <w:vertAlign w:val="superscript"/>
    </w:rPr>
  </w:style>
  <w:style w:type="character" w:styleId="Fodnotetegn">
    <w:name w:val="Fodnotetegn"/>
    <w:qFormat/>
    <w:rPr/>
  </w:style>
  <w:style w:type="character" w:styleId="Slutnoteanker">
    <w:name w:val="Slutnoteanker"/>
    <w:rPr>
      <w:vertAlign w:val="superscript"/>
    </w:rPr>
  </w:style>
  <w:style w:type="character" w:styleId="Slutnotetegn">
    <w:name w:val="Slutnotetegn"/>
    <w:qFormat/>
    <w:rPr/>
  </w:style>
  <w:style w:type="paragraph" w:styleId="Overskrift">
    <w:name w:val="Overskrift"/>
    <w:basedOn w:val="Normal"/>
    <w:next w:val="Brdtekst"/>
    <w:qFormat/>
    <w:pPr>
      <w:keepNext w:val="true"/>
      <w:spacing w:before="240" w:after="120"/>
    </w:pPr>
    <w:rPr>
      <w:rFonts w:ascii="Liberation Sans" w:hAnsi="Liberation Sans" w:eastAsia="PingFang SC" w:cs="Arial Unicode M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Unicode MS"/>
    </w:rPr>
  </w:style>
  <w:style w:type="paragraph" w:styleId="Billedtekst">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64316c"/>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64316c"/>
    <w:pPr>
      <w:tabs>
        <w:tab w:val="clear" w:pos="1304"/>
        <w:tab w:val="center" w:pos="4819" w:leader="none"/>
        <w:tab w:val="right" w:pos="9638" w:leader="none"/>
      </w:tabs>
      <w:spacing w:lineRule="auto" w:line="240" w:before="0" w:after="0"/>
    </w:pPr>
    <w:rPr/>
  </w:style>
  <w:style w:type="paragraph" w:styleId="ListParagraph">
    <w:name w:val="List Paragraph"/>
    <w:basedOn w:val="Normal"/>
    <w:uiPriority w:val="34"/>
    <w:qFormat/>
    <w:rsid w:val="0064316c"/>
    <w:pPr>
      <w:spacing w:before="0" w:after="160"/>
      <w:ind w:left="720" w:hanging="0"/>
      <w:contextualSpacing/>
    </w:pPr>
    <w:rPr/>
  </w:style>
  <w:style w:type="paragraph" w:styleId="Fodnote">
    <w:name w:val="Footnote Text"/>
    <w:basedOn w:val="Normal"/>
    <w:link w:val="FodnotetekstTegn"/>
    <w:uiPriority w:val="99"/>
    <w:semiHidden/>
    <w:unhideWhenUsed/>
    <w:rsid w:val="009264b0"/>
    <w:pPr>
      <w:spacing w:lineRule="auto" w:line="240" w:before="0" w:after="0"/>
    </w:pPr>
    <w:rPr>
      <w:sz w:val="20"/>
      <w:szCs w:val="20"/>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uiPriority w:val="39"/>
    <w:rsid w:val="006431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dykidholm@gmail.com"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inanstilsynet.dk/tal-og-fakta/pep-liste" TargetMode="Externa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FBA1-D720-4CE7-825B-E2B8DF0D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Collabora_Office/21.06.5.1$MacOSX_AARCH64 LibreOffice_project/c4a6d96cfa427a1b8b443ea2664ec5b6ab964f18</Application>
  <AppVersion>15.0000</AppVersion>
  <Pages>2</Pages>
  <Words>430</Words>
  <Characters>2971</Characters>
  <CharactersWithSpaces>3393</CharactersWithSpaces>
  <Paragraphs>26</Paragraphs>
  <Company>Region Nordjylland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2018-06-25T20:23:00Z</dcterms:created>
  <dc:creator>Lasse Stender  / Region Nordjylland</dc:creator>
  <dc:description/>
  <dc:language>da-DK</dc:language>
  <cp:lastModifiedBy/>
  <dcterms:modified xsi:type="dcterms:W3CDTF">2021-12-06T09:51:40Z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